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  <w:b/>
          <w:b/>
        </w:rPr>
      </w:pPr>
      <w:r>
        <w:rPr>
          <w:rFonts w:ascii="Verdana" w:hAnsi="Verdana"/>
        </w:rPr>
        <w:t xml:space="preserve">       </w:t>
      </w:r>
      <w:r>
        <w:rPr>
          <w:rFonts w:cs="Arial" w:ascii="Verdana" w:hAnsi="Verdana"/>
          <w:b/>
        </w:rPr>
        <w:t>PROJETO DE LEI N.º 949/2025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BodyTextIndent2"/>
        <w:ind w:left="3402" w:firstLine="1980"/>
        <w:rPr>
          <w:rFonts w:ascii="Verdana" w:hAnsi="Verdana" w:cs="Arial"/>
        </w:rPr>
      </w:pPr>
      <w:r>
        <w:rPr>
          <w:rFonts w:cs="Arial" w:ascii="Verdana" w:hAnsi="Verdana"/>
          <w:b/>
          <w:color w:val="000000"/>
        </w:rPr>
        <w:t>Ementa</w:t>
      </w:r>
      <w:r>
        <w:rPr>
          <w:rFonts w:cs="Arial" w:ascii="Verdana" w:hAnsi="Verdana"/>
          <w:color w:val="000000"/>
        </w:rPr>
        <w:t xml:space="preserve">: </w:t>
      </w:r>
      <w:r>
        <w:rPr>
          <w:rFonts w:ascii="Verdana" w:hAnsi="Verdana"/>
        </w:rPr>
        <w:t>"Dispõe sobre a proibição de corte no fornecimento de água em determinadas situações no Município de Varre-Sai e dá outras providências."</w:t>
      </w:r>
      <w:r>
        <w:rPr>
          <w:rFonts w:cs="Arial" w:ascii="Verdana" w:hAnsi="Verdana"/>
          <w:color w:val="000000"/>
        </w:rPr>
        <w:t xml:space="preserve"> 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rpodotexto"/>
        <w:spacing w:before="252" w:after="0"/>
        <w:ind w:right="1" w:hanging="0"/>
        <w:rPr>
          <w:rFonts w:ascii="Verdana" w:hAnsi="Verdana" w:cs="Arial"/>
          <w:sz w:val="24"/>
        </w:rPr>
      </w:pPr>
      <w:r>
        <w:rPr>
          <w:rFonts w:cs="Arial" w:ascii="Verdana" w:hAnsi="Verdana"/>
          <w:sz w:val="24"/>
        </w:rPr>
        <w:t>A Câmara Municipal de Varre-Sai aprova e Eu, Prefeito Municipal, Promulgo e Sanciono a seguinte lei: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b/>
        </w:rPr>
        <w:t>Art. 1º -</w:t>
      </w:r>
      <w:r>
        <w:rPr>
          <w:rFonts w:ascii="Verdana" w:hAnsi="Verdana"/>
        </w:rPr>
        <w:t xml:space="preserve"> Fica proibido o corte do fornecimento de água por inadimplência do consumidor nas seguintes situações: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</w:rPr>
        <w:t>I – Às sextas-feiras, sábados, domingos, feriados e vésperas de feriados;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</w:rPr>
        <w:t xml:space="preserve"> 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II – Em imóvel habitado por pessoa com deficiência que recebe o Beneficio de Prestação Continuada (BPC);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III- Em imóvel habitado por idoso acima de 65 anos beneficiário da tarifa social;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</w:rPr>
        <w:t>IV – Em imóvel habitado por pessoa acamado, devidamente comprovado por laudo médico;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</w:rPr>
        <w:t xml:space="preserve">  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</w:rPr>
        <w:t xml:space="preserve">III – Em unidades de saúde, escolas, creches, abrigos e demais serviços públicos essenciais;  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V – Sem prévia notificação escrita ao consumidor, com no mínimo 15 (quinze) dias de antecedência.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b/>
        </w:rPr>
        <w:t>§ 1º</w:t>
      </w:r>
      <w:r>
        <w:rPr>
          <w:rFonts w:ascii="Verdana" w:hAnsi="Verdana"/>
        </w:rPr>
        <w:t xml:space="preserve"> - O disposto no </w:t>
      </w:r>
      <w:r>
        <w:rPr>
          <w:rFonts w:ascii="Verdana" w:hAnsi="Verdana"/>
          <w:i/>
        </w:rPr>
        <w:t>caput</w:t>
      </w:r>
      <w:r>
        <w:rPr>
          <w:rFonts w:ascii="Verdana" w:hAnsi="Verdana"/>
        </w:rPr>
        <w:t xml:space="preserve"> deste artigo não prejudica o ajuizamento de ações de cobrança dos débitos decorrentes da inadimplência ao pagamento pelo serviço de fornecimento de água.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b/>
        </w:rPr>
        <w:t>Art. 2º</w:t>
      </w:r>
      <w:r>
        <w:rPr>
          <w:rFonts w:ascii="Verdana" w:hAnsi="Verdana"/>
        </w:rPr>
        <w:t xml:space="preserve"> - A notificação que trata o inciso V do artigo anterior deverá conter: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</w:rPr>
        <w:t>I – Identificação da unidade consumidora;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</w:rPr>
        <w:t xml:space="preserve"> 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 xml:space="preserve">II – Valor da dívida;  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 xml:space="preserve">III – Data prevista para suspensão; </w:t>
      </w:r>
    </w:p>
    <w:p>
      <w:pPr>
        <w:pStyle w:val="Normal"/>
        <w:jc w:val="both"/>
        <w:rPr>
          <w:rFonts w:ascii="Verdana" w:hAnsi="Verdana"/>
          <w:sz w:val="10"/>
          <w:szCs w:val="10"/>
        </w:rPr>
      </w:pPr>
      <w:r>
        <w:rPr>
          <w:rFonts w:ascii="Verdana" w:hAnsi="Verdana"/>
        </w:rPr>
        <w:t xml:space="preserve">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IV – Meios para regularização da dívida.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b/>
        </w:rPr>
        <w:t>Art. 3º</w:t>
      </w:r>
      <w:r>
        <w:rPr>
          <w:rFonts w:ascii="Verdana" w:hAnsi="Verdana"/>
        </w:rPr>
        <w:t xml:space="preserve"> - A empresa responsável pelo fornecimento de água, poderá efetuar a interrupção nos dias indicados no inciso I do Art. 1º, para melhoria do atendimento da coletividade, em caráter emergencial, desde que a cessação do fornecimento do serviço não perdure por mais de 06 horas, durante o próprio dia do desligamento.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b/>
        </w:rPr>
        <w:t>Art. 4º -</w:t>
      </w:r>
      <w:r>
        <w:rPr>
          <w:rFonts w:ascii="Verdana" w:hAnsi="Verdana"/>
        </w:rPr>
        <w:t xml:space="preserve"> O descumprimento desta Lei sujeita a concessionária às sanções previstas na legislação de proteção ao consumidor.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b/>
        </w:rPr>
        <w:t>Art. 5º</w:t>
      </w:r>
      <w:r>
        <w:rPr>
          <w:rFonts w:ascii="Verdana" w:hAnsi="Verdana"/>
        </w:rPr>
        <w:t xml:space="preserve"> - Esta Lei entra em vigor na data de sua publicação.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rpodotexto"/>
        <w:spacing w:before="249" w:after="0"/>
        <w:ind w:right="1" w:hanging="0"/>
        <w:jc w:val="right"/>
        <w:rPr>
          <w:rFonts w:ascii="Verdana" w:hAnsi="Verdana" w:cs="Arial"/>
          <w:sz w:val="24"/>
          <w:shd w:fill="FFFFFF" w:val="clear"/>
        </w:rPr>
      </w:pPr>
      <w:r>
        <w:rPr>
          <w:rFonts w:cs="Arial" w:ascii="Verdana" w:hAnsi="Verdana"/>
          <w:sz w:val="24"/>
          <w:shd w:fill="FFFFFF" w:val="clear"/>
        </w:rPr>
        <w:t>Registre-se, Publique-se e Cumpra-se.</w:t>
      </w:r>
    </w:p>
    <w:p>
      <w:pPr>
        <w:pStyle w:val="Corpodotexto"/>
        <w:spacing w:before="249" w:after="0"/>
        <w:ind w:right="142" w:hanging="0"/>
        <w:rPr>
          <w:rFonts w:ascii="Verdana" w:hAnsi="Verdana" w:cs="Arial"/>
          <w:sz w:val="24"/>
          <w:shd w:fill="FFFFFF" w:val="clear"/>
        </w:rPr>
      </w:pPr>
      <w:r>
        <w:rPr>
          <w:rFonts w:cs="Arial" w:ascii="Verdana" w:hAnsi="Verdana"/>
          <w:sz w:val="24"/>
          <w:shd w:fill="FFFFFF" w:val="clear"/>
        </w:rPr>
        <w:t>Prefeitura Municipal de Varre-Sai, 06 de junho de 2025.</w:t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Sala das Sessões em 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Presidente: ______________________________________________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1º Secretário: ___________________________________________</w:t>
      </w:r>
    </w:p>
    <w:p>
      <w:pPr>
        <w:pStyle w:val="Normal"/>
        <w:spacing w:lineRule="auto" w:line="480"/>
        <w:rPr>
          <w:rFonts w:ascii="Verdana" w:hAnsi="Verdana" w:cs="Arial"/>
        </w:rPr>
      </w:pPr>
      <w:r>
        <w:rPr>
          <w:rFonts w:cs="Arial" w:ascii="Verdana" w:hAnsi="Verdana"/>
        </w:rPr>
        <w:t>2º Secretário: ___________________________________________</w:t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LAURO ABIB FABRI</w:t>
      </w:r>
    </w:p>
    <w:p>
      <w:pPr>
        <w:pStyle w:val="Normal"/>
        <w:jc w:val="center"/>
        <w:rPr>
          <w:rFonts w:ascii="Verdana" w:hAnsi="Verdana" w:cs="Arial"/>
        </w:rPr>
      </w:pPr>
      <w:r>
        <w:rPr>
          <w:rFonts w:cs="Arial" w:ascii="Verdana" w:hAnsi="Verdana"/>
        </w:rPr>
        <w:t>PREFEITO MUNICIPAL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  <w:t>MENSAGEM Nº 016/2025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rpodotexto"/>
        <w:ind w:right="142" w:hanging="2"/>
        <w:rPr>
          <w:rFonts w:ascii="Verdana" w:hAnsi="Verdana"/>
          <w:sz w:val="24"/>
        </w:rPr>
      </w:pPr>
      <w:r>
        <w:rPr>
          <w:rFonts w:ascii="Verdana" w:hAnsi="Verdana"/>
          <w:sz w:val="24"/>
          <w:shd w:fill="FFFFFF" w:val="clear"/>
        </w:rPr>
        <w:t>À Câmara Municipal de Varre-Sai,</w:t>
      </w:r>
    </w:p>
    <w:p>
      <w:pPr>
        <w:pStyle w:val="Normal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Sr. Presidente e Srs. Vereadores,</w:t>
      </w:r>
    </w:p>
    <w:p>
      <w:pPr>
        <w:pStyle w:val="Normal"/>
        <w:spacing w:beforeAutospacing="1" w:afterAutospacing="1"/>
        <w:jc w:val="both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Ttulo2"/>
        <w:jc w:val="both"/>
        <w:rPr>
          <w:rFonts w:ascii="Verdana" w:hAnsi="Verdana"/>
          <w:spacing w:val="-4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  <w:u w:val="single"/>
        </w:rPr>
        <w:t xml:space="preserve">MENSAGEM DO PROJETO DE LEI DE Nº 948 DE 06 DE JUNHO DE </w:t>
      </w:r>
      <w:r>
        <w:rPr>
          <w:rFonts w:ascii="Verdana" w:hAnsi="Verdana"/>
          <w:spacing w:val="-4"/>
          <w:sz w:val="22"/>
          <w:szCs w:val="22"/>
          <w:u w:val="single"/>
        </w:rPr>
        <w:t>2025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 fornecimento de água é serviço público essencial. A norma visa proteger consumidores vulneráveis e garantir o acesso à água em situações humanitárias, sem isentar obrigações legais. 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O Código de Defesa do Consumidor é norma principiológica, de ordem pública e interesse social, havendo menção expressa ao próprio texto Maior quanto à proteção aos interesses dos consumidores.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Isso coloca a Lei 8.078/1990 em posição hierarquicamente superior a regulamentação das concessões públicas em obediência ao Princípio da Dignidade da Pessoa Humana.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É certo que, as empresas têm os meios próprios para cobrarem suas dívidas por meio da Justiça, não sendo admissível utilizar-se de uma medida extrema que é o corte no fornecimento deste serviço essencial através de método extremamente vexatório.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É obrigação do Estado desenvolver políticas públicas com a finalidade de proteger o direito dos consumidores e garantir a efetivação desse direito de forma digna.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O consumidor de uma forma geral é vulnerável e, por esta razão necessita de amparo nas relações de consumo, e o Código de Defesa do Consumidor reconhece que, dentre os consumidores, há alguns que são ainda mais vulneráveis como os consumidores idosos, exigindo maior proteção assim como estabelece o artigo 39, que impõe o seguinte:</w:t>
      </w:r>
    </w:p>
    <w:p>
      <w:pPr>
        <w:pStyle w:val="Normal"/>
        <w:ind w:left="3540" w:hanging="0"/>
        <w:jc w:val="both"/>
        <w:rPr>
          <w:rFonts w:ascii="Verdana" w:hAnsi="Verdana"/>
          <w:i/>
          <w:i/>
        </w:rPr>
      </w:pP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Art. 39 É vedado ao fornecedor prevalecer-se da fraqueza ou ignorância do consumidor, tendo em vista sua idade, saúde, conhecimento ou condição social.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Nesse sentido, o artigo 42 do mesmo Código de Defesa do Consumidor trata do abuso de direito na cobrança de dívidas e estabelece o seguinte: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3540" w:hanging="0"/>
        <w:jc w:val="both"/>
        <w:rPr>
          <w:rFonts w:ascii="Verdana" w:hAnsi="Verdana"/>
          <w:i/>
          <w:i/>
        </w:rPr>
      </w:pPr>
      <w:r>
        <w:rPr>
          <w:rFonts w:ascii="Verdana" w:hAnsi="Verdana"/>
          <w:i/>
        </w:rPr>
        <w:t xml:space="preserve">Art. 42 “Na cobrança de débitos, o consumidor inadimplente não será exposto ao ridículo, nem será submetido a qualquer tipo de constrangimento ou ameaça.”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>Lamentavelmente, as empresas concessionárias pelos serviços públicos de natureza essencial no Brasil, utilizam-se das ressalvas estabelecidas pela Legislação atual para procederem, ao seu critério, o corte do fornecimento do referido serviço essencial ao consumidor, expondo-o muitas vezes ao ridículo na cobrança das dívidas, quando não ocasionam danos irreversíveis à sua vida e sua saúde.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 w:eastAsia="SimSun" w:cs="Arial"/>
          <w:lang w:eastAsia="zh-CN"/>
        </w:rPr>
      </w:pPr>
      <w:r>
        <w:rPr>
          <w:rFonts w:ascii="Verdana" w:hAnsi="Verdana"/>
        </w:rPr>
        <w:tab/>
      </w:r>
      <w:r>
        <w:rPr>
          <w:rFonts w:eastAsia="SimSun" w:cs="Arial" w:ascii="Verdana" w:hAnsi="Verdana"/>
          <w:lang w:eastAsia="zh-CN"/>
        </w:rPr>
        <w:t>Diante de todo o exposto, solicitamos aos Nobres Edis, aprovação na íntegra do Projeto de Lei, na forma regimental.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rFonts w:ascii="Verdana" w:hAnsi="Verdana" w:eastAsia="SimSun" w:cs="Arial"/>
          <w:lang w:eastAsia="zh-CN"/>
        </w:rPr>
      </w:pPr>
      <w:r>
        <w:rPr>
          <w:rFonts w:eastAsia="SimSun" w:cs="Arial" w:ascii="Verdana" w:hAnsi="Verdana"/>
          <w:lang w:eastAsia="zh-CN"/>
        </w:rPr>
      </w:r>
    </w:p>
    <w:p>
      <w:pPr>
        <w:pStyle w:val="Corpodotexto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  <w:bCs/>
          <w:iCs/>
          <w:sz w:val="24"/>
        </w:rPr>
      </w:pPr>
      <w:r>
        <w:rPr>
          <w:rFonts w:cs="Arial" w:ascii="Verdana" w:hAnsi="Verdana"/>
          <w:bCs/>
          <w:iCs/>
          <w:sz w:val="24"/>
        </w:rPr>
        <w:t>Varre-Sai/RJ, 06 de Junho de 2025.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  <w:b/>
          <w:b/>
          <w:i/>
          <w:i/>
        </w:rPr>
      </w:pPr>
      <w:r>
        <w:rPr>
          <w:rFonts w:cs="Arial" w:ascii="Verdana" w:hAnsi="Verdana"/>
          <w:b/>
          <w:i/>
        </w:rPr>
        <w:t>Lauro Abib Fabri</w:t>
      </w:r>
    </w:p>
    <w:p>
      <w:pPr>
        <w:pStyle w:val="Normal"/>
        <w:tabs>
          <w:tab w:val="clear" w:pos="708"/>
          <w:tab w:val="left" w:pos="1701" w:leader="none"/>
          <w:tab w:val="left" w:pos="2268" w:leader="none"/>
          <w:tab w:val="left" w:pos="2694" w:leader="none"/>
        </w:tabs>
        <w:jc w:val="center"/>
        <w:rPr>
          <w:rFonts w:ascii="Verdana" w:hAnsi="Verdana" w:cs="Arial"/>
          <w:b/>
          <w:b/>
          <w:i/>
          <w:i/>
        </w:rPr>
      </w:pPr>
      <w:r>
        <w:rPr>
          <w:rFonts w:cs="Arial" w:ascii="Verdana" w:hAnsi="Verdana"/>
          <w:b/>
          <w:i/>
        </w:rPr>
        <w:t>Prefeito</w:t>
      </w:r>
    </w:p>
    <w:sectPr>
      <w:headerReference w:type="default" r:id="rId2"/>
      <w:type w:val="nextPage"/>
      <w:pgSz w:w="11906" w:h="16838"/>
      <w:pgMar w:left="1701" w:right="1701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Capital Estadual do Café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5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fa6495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a6495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a6495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rsid w:val="00fa649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382c5a"/>
    <w:rPr>
      <w:sz w:val="24"/>
      <w:szCs w:val="24"/>
      <w:lang w:val="pt-BR" w:eastAsia="pt-BR" w:bidi="ar-SA"/>
    </w:rPr>
  </w:style>
  <w:style w:type="character" w:styleId="Nfase">
    <w:name w:val="Emphasis"/>
    <w:basedOn w:val="DefaultParagraphFont"/>
    <w:qFormat/>
    <w:rsid w:val="00950ce9"/>
    <w:rPr>
      <w:i/>
      <w:iCs/>
    </w:rPr>
  </w:style>
  <w:style w:type="character" w:styleId="Strong">
    <w:name w:val="Strong"/>
    <w:basedOn w:val="DefaultParagraphFont"/>
    <w:qFormat/>
    <w:rsid w:val="00950ce9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fa6495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a64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fa649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a6495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fa6495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fa6495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fa6495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Xmsonormal" w:customStyle="1">
    <w:name w:val="x_msonormal"/>
    <w:basedOn w:val="Normal"/>
    <w:qFormat/>
    <w:rsid w:val="00510a57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ad045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13996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477b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EC73-285B-485A-B21C-FB16B684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LibreOffice/7.4.3.2$Windows_X86_64 LibreOffice_project/1048a8393ae2eeec98dff31b5c133c5f1d08b890</Application>
  <AppVersion>15.0000</AppVersion>
  <Pages>4</Pages>
  <Words>718</Words>
  <Characters>4026</Characters>
  <CharactersWithSpaces>4995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2025-06-06T14:52:00Z</dcterms:created>
  <dc:creator>EW/LN/CB</dc:creator>
  <dc:description/>
  <cp:keywords>Ethan</cp:keywords>
  <dc:language>pt-BR</dc:language>
  <cp:lastModifiedBy>Alex.bitencourt</cp:lastModifiedBy>
  <cp:lastPrinted>2025-06-06T18:43:00Z</cp:lastPrinted>
  <dcterms:modified xsi:type="dcterms:W3CDTF">2025-06-09T16:37:00Z</dcterms:modified>
  <cp:revision>30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