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color w:val="000000" w:themeColor="text1"/>
          <w:sz w:val="28"/>
          <w:szCs w:val="28"/>
        </w:rPr>
      </w:pPr>
      <w:r>
        <w:rPr>
          <w:rFonts w:ascii="Times New Roman" w:hAnsi="Times New Roman"/>
          <w:b/>
          <w:color w:val="000000" w:themeColor="text1"/>
          <w:sz w:val="28"/>
          <w:szCs w:val="28"/>
        </w:rPr>
        <w:t>ATO Nº 010/2024</w:t>
      </w:r>
    </w:p>
    <w:p>
      <w:pPr>
        <w:pStyle w:val="Normal"/>
        <w:ind w:left="34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extbody"/>
        <w:spacing w:beforeAutospacing="0" w:before="0" w:afterAutospacing="0" w:after="0"/>
        <w:ind w:left="3402" w:hanging="0"/>
        <w:jc w:val="both"/>
        <w:rPr>
          <w:color w:val="000000" w:themeColor="text1"/>
        </w:rPr>
      </w:pPr>
      <w:r>
        <w:rPr>
          <w:rStyle w:val="Strong"/>
          <w:b w:val="false"/>
          <w:bCs w:val="false"/>
          <w:color w:val="000000" w:themeColor="text1"/>
          <w:shd w:fill="FFFFFF" w:val="clear"/>
        </w:rPr>
        <w:t>Dispõe sobre o valor estimado para o processo administrativo de licitação pública ou processo administrativo para contratação direta para aquisição de bens e contratação de serviços em geral e de obras e serviços de engenharia.</w:t>
      </w:r>
    </w:p>
    <w:p>
      <w:pPr>
        <w:pStyle w:val="Normal"/>
        <w:ind w:left="3402" w:hanging="0"/>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ind w:firstLine="709"/>
        <w:jc w:val="both"/>
        <w:rPr>
          <w:rFonts w:ascii="Times New Roman" w:hAnsi="Times New Roman" w:eastAsia="" w:eastAsiaTheme="minorEastAsia"/>
          <w:color w:val="000000" w:themeColor="text1"/>
          <w:sz w:val="24"/>
          <w:szCs w:val="24"/>
        </w:rPr>
      </w:pPr>
      <w:r>
        <w:rPr>
          <w:rFonts w:eastAsia="" w:ascii="Times New Roman" w:hAnsi="Times New Roman" w:eastAsiaTheme="minorEastAsia"/>
          <w:color w:val="000000" w:themeColor="text1"/>
          <w:sz w:val="24"/>
          <w:szCs w:val="24"/>
        </w:rPr>
        <w:t xml:space="preserve">O </w:t>
      </w:r>
      <w:r>
        <w:rPr>
          <w:rFonts w:eastAsia="" w:ascii="Times New Roman" w:hAnsi="Times New Roman" w:eastAsiaTheme="minorEastAsia"/>
          <w:b/>
          <w:color w:val="000000" w:themeColor="text1"/>
          <w:sz w:val="24"/>
          <w:szCs w:val="24"/>
        </w:rPr>
        <w:t xml:space="preserve">Presidente da Câmara Municipal </w:t>
      </w:r>
      <w:r>
        <w:rPr>
          <w:rFonts w:eastAsia="" w:ascii="Times New Roman" w:hAnsi="Times New Roman" w:eastAsiaTheme="minorEastAsia"/>
          <w:color w:val="000000" w:themeColor="text1"/>
          <w:sz w:val="24"/>
          <w:szCs w:val="24"/>
        </w:rPr>
        <w:t>de Varre-Sai, estado do Rio de Janeiro, no desempenho de suas atribuições legais.</w:t>
      </w:r>
    </w:p>
    <w:p>
      <w:pPr>
        <w:pStyle w:val="Normal"/>
        <w:ind w:firstLine="709"/>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rFonts w:ascii="Times New Roman" w:hAnsi="Times New Roman" w:eastAsia="" w:eastAsiaTheme="minorEastAsia"/>
          <w:color w:val="000000" w:themeColor="text1"/>
          <w:sz w:val="24"/>
          <w:szCs w:val="24"/>
        </w:rPr>
      </w:pPr>
      <w:r>
        <w:rPr>
          <w:rFonts w:ascii="Times New Roman" w:hAnsi="Times New Roman"/>
          <w:b/>
          <w:bCs/>
          <w:color w:val="000000" w:themeColor="text1"/>
          <w:sz w:val="24"/>
          <w:szCs w:val="24"/>
          <w:shd w:fill="FFFFFF" w:val="clear"/>
        </w:rPr>
        <w:t>CONSIDERANDO</w:t>
      </w:r>
      <w:r>
        <w:rPr>
          <w:rFonts w:ascii="Times New Roman" w:hAnsi="Times New Roman"/>
          <w:color w:val="000000" w:themeColor="text1"/>
          <w:sz w:val="24"/>
          <w:szCs w:val="24"/>
          <w:shd w:fill="FFFFFF" w:val="clear"/>
        </w:rPr>
        <w:t xml:space="preserve"> os §§ 1º e 2º do art. 23 da </w:t>
      </w:r>
      <w:r>
        <w:rPr>
          <w:rFonts w:eastAsia="" w:ascii="Times New Roman" w:hAnsi="Times New Roman" w:eastAsiaTheme="minorEastAsia"/>
          <w:color w:val="000000" w:themeColor="text1"/>
          <w:sz w:val="24"/>
          <w:szCs w:val="24"/>
        </w:rPr>
        <w:t>Lei nº. 14.133/2021, denominada “Lei de Licitações e Contratos Administrativos”;</w:t>
      </w:r>
    </w:p>
    <w:p>
      <w:pPr>
        <w:pStyle w:val="Normal"/>
        <w:spacing w:before="0" w:after="160"/>
        <w:ind w:firstLine="708"/>
        <w:jc w:val="both"/>
        <w:rPr>
          <w:rFonts w:ascii="Times New Roman" w:hAnsi="Times New Roman" w:eastAsia="" w:eastAsiaTheme="minorEastAsia"/>
          <w:b/>
          <w:b/>
          <w:color w:val="000000" w:themeColor="text1"/>
          <w:sz w:val="24"/>
          <w:szCs w:val="24"/>
        </w:rPr>
      </w:pPr>
      <w:r>
        <w:rPr>
          <w:rFonts w:eastAsia="" w:ascii="Times New Roman" w:hAnsi="Times New Roman" w:eastAsiaTheme="minorEastAsia"/>
          <w:b/>
          <w:color w:val="000000" w:themeColor="text1"/>
          <w:sz w:val="24"/>
          <w:szCs w:val="24"/>
        </w:rPr>
        <w:t>RESOLVE:</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TÍTULO I</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DO VALOR ESTIMATIVO PARA CONTRATAÇÃO DE BENS E SERVIÇOS</w:t>
      </w:r>
    </w:p>
    <w:p>
      <w:pPr>
        <w:pStyle w:val="Normal"/>
        <w:ind w:firstLine="708"/>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hd w:val="clear" w:color="auto" w:fill="FFFFFF"/>
        <w:spacing w:before="0" w:after="160"/>
        <w:ind w:firstLine="708"/>
        <w:jc w:val="both"/>
        <w:rPr>
          <w:rFonts w:ascii="Times New Roman" w:hAnsi="Times New Roman"/>
          <w:color w:val="000000" w:themeColor="text1"/>
          <w:sz w:val="24"/>
          <w:szCs w:val="24"/>
        </w:rPr>
      </w:pPr>
      <w:bookmarkStart w:id="0" w:name="art1"/>
      <w:bookmarkEnd w:id="0"/>
      <w:r>
        <w:rPr>
          <w:rFonts w:ascii="Times New Roman" w:hAnsi="Times New Roman"/>
          <w:b/>
          <w:bCs/>
          <w:color w:val="000000" w:themeColor="text1"/>
          <w:sz w:val="24"/>
          <w:szCs w:val="24"/>
        </w:rPr>
        <w:t>Art. 1º.</w:t>
      </w:r>
      <w:r>
        <w:rPr>
          <w:rFonts w:ascii="Times New Roman" w:hAnsi="Times New Roman"/>
          <w:color w:val="000000" w:themeColor="text1"/>
          <w:sz w:val="24"/>
          <w:szCs w:val="24"/>
        </w:rPr>
        <w:t xml:space="preserve"> Este Ato regulamenta o valor estimado para o processo administrativo de licitação pública ou processo administrativo para contratação direta para aquisição de bens e contratação de serviços em geral e de obras e serviços de engenharia. </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Art. 2º. </w:t>
      </w:r>
      <w:r>
        <w:rPr>
          <w:rFonts w:ascii="Times New Roman" w:hAnsi="Times New Roman"/>
          <w:color w:val="000000" w:themeColor="text1"/>
          <w:sz w:val="24"/>
          <w:szCs w:val="24"/>
        </w:rPr>
        <w:t>No processo administrativo de licitação pública ou processo administrativo para contratação direta para aquisição de bens e contratação de serviços em geral, o valor estimado da contratação será definido com base na mediana dos preços aferidos pelo Setor de Compras, observadas a potencial economia de escala e as peculiaridades do local de execução do objeto, por meio da utilização dos seguintes parâmetros, adotados de forma combinada ou não: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a composição de custos unitários menores ou iguais à mediana do item correspondente no painel para consulta de preços ou no banco de preços em saúde disponíveis no Portal Nacional de Contratações Públicas – PNCP;</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contratações similares feitas pela Administração Pública – União, Estado do Rio de Janeiro e Municípios –, em execução ou concluídas no período de 01 (um) ano anterior à data da pesquisa de preços, inclusive mediante sistema de registro de preços, observado o índice de atualização de preços correspondente;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III – utilização de dados de pesquisa de preços publicada em mídia especializada, de tabela de referência formalmente aprovada pelo Poder Executivo Federal e de sítios eletrônicos especializados ou de domínio amplo, desde que contenham a data e hora de acesso;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IV – pesquisa direta com no mínimo 3 (três) fornecedores, mediante solicitação formal de cotação, desde que seja apresentada justificativa da escolha desses fornecedores e que não tenha sido obtidos os orçamentos com mais de 06 (seis) meses de antecedência da data de divulgação do edital;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 – a pesquisa na base nacional de notas fiscais eletrônicas, na forma deste Ato.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Nos casos dos incisos I, III e V do caput deste artigo, somente serão admitidos os preços cujas datas não ultrapassem 01 (um) ano da data da divulgação do edital.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Para a obtenção do valor estimado da contratação, será utilizada a mediana dos valores obtidos na pesquisa de preços e previamente condensados no mapa de formação de preços.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Deverão ser desconsiderados para os fins do contido no § 2º deste artigo os valores inexequíveis, inconsistentes e os excessivamente elevados, conforme critérios fundamentados e descritos no processo administrativo de licitação pública ou processo administrativo para contratação direta.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Tanto a pesquisa de preços quanto a elaboração do mapa de formação de preços deverão ser realizadas e acostadas nos autos do processo administrativo de licitação pública ou processo administrativo para contratação direta por servidor(a) público(a) municipal devidamente identificado(a), o qual se responsabilizará pela veracidade das informações que serão inseridas no instrumento convocatório, no convênio ou instrumento congênere, ou ainda no instrumento oriundo de contratação direta.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5º. O mapa de formação de preços, devidamente assinado pelo(a) servidor(a) público(a) municipal mencionado no § 4º, deste artigo deverá refletir a pesquisa de preços com os parâmetros e método adotados, além do resultado obtido e correspondente ao valor estimado da contratação administrativa.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6º. Se no painel para consulta de preço ou o banco de preços em saúde disponíveis no PNCP de que trata o inciso I deste artigo dispor sobre o “menor preço”, este deverá ser considerado pela Administração como melhor preço para fins de valor estimado.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7º. A escolha dos fornecedores para pesquisa direta de que trata o inciso III deste artigo poderá se dar em razão dos licitantes e contratantes serem habituais da Administração, serem locais ou da região, dentre outros motivos.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8º. A pesquisa na base nacional de notas fiscais eletrônicas de que trata o inciso V deste artigo será acessada ou realizada através do PNCP.</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9º. Até o PNCP oferecer a funcionalidade prevista no § 8º deste artigo, na impossibilidade de acesso ou não localização de bens e serviços em geral no PNCP, poderá ser utilizado o banco de dados do Município de Varre-Sai.</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3º.</w:t>
      </w:r>
      <w:r>
        <w:rPr>
          <w:rFonts w:ascii="Times New Roman" w:hAnsi="Times New Roman"/>
          <w:color w:val="000000" w:themeColor="text1"/>
          <w:sz w:val="24"/>
          <w:szCs w:val="24"/>
        </w:rPr>
        <w:t xml:space="preserve"> Quando a pesquisa de preços for realizada com fornecedores ou prestadores de serviços, estes deverão receber solicitação formal preferencialmente por meio eletrônico, tal como: e-mail, para a apresentação de cotação dos valores unitários e total, devendo ser conferido um prazo de resposta compatível com a complexidade do objeto a ser contratado, o qual não será inferior a 5 (cinco) dias úteis.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No envio das solicitações formais, a Administração deve: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garantir que o(a)(s) interessados recebam a completa descrição dos bens e/ou serviços cotados, com todas as especificações técnicas;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certificar que, nas cotações apresentadas, os produtos e/ou serviços cotados condizem com o que foi exigido pela Administração, evitando-se eventuais distorções de preço.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As cotações dos fornecedores deverão estar identificadas, datadas e assinadas, ainda que por meio eletrônico, pelos responsáveis por sua confecção.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Eventuais variações ou discrepâncias entre os preços cotados, já desconsiderados os preços tidos por inexequíveis ou as cotações com sobrepreço, deverão ser justificadas ou circunstanciadas pelo(a) servidor(a) público(a) municipal responsável pela pesquisa, a fim de que o valor previamente estimado da contratação retrate, o quanto possível, a realidade dos preços praticados no mercado.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Nos autos do processo administrativo de licitação pública ou processo administrativo para contratação direta, deverá haver o registro da relação de fornecedores que foram consultados e não enviaram propostas como resposta à solicitação de que trata o caput deste artigo.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4º.</w:t>
      </w:r>
      <w:r>
        <w:rPr>
          <w:rFonts w:ascii="Times New Roman" w:hAnsi="Times New Roman"/>
          <w:color w:val="000000" w:themeColor="text1"/>
          <w:sz w:val="24"/>
          <w:szCs w:val="24"/>
        </w:rPr>
        <w:t xml:space="preserve"> Não serão admitidas estimativas de preços obtidas em sítios de leilão ou de intermediação de vendas.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5º.</w:t>
      </w:r>
      <w:r>
        <w:rPr>
          <w:rFonts w:ascii="Times New Roman" w:hAnsi="Times New Roman"/>
          <w:color w:val="000000" w:themeColor="text1"/>
          <w:sz w:val="24"/>
          <w:szCs w:val="24"/>
        </w:rPr>
        <w:t xml:space="preserve"> Desde que justificado, o valor estimado da contratação poderá ter caráter sigiloso, sem prejuízo da divulgação do detalhamento dos quantitativos e das demais informações necessárias para a elaboração das propostas, salvo na hipótese de licitação pública cujo critério de julgamento for por maior desconto.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6º.</w:t>
      </w:r>
      <w:r>
        <w:rPr>
          <w:rFonts w:ascii="Times New Roman" w:hAnsi="Times New Roman"/>
          <w:color w:val="000000" w:themeColor="text1"/>
          <w:sz w:val="24"/>
          <w:szCs w:val="24"/>
        </w:rPr>
        <w:t xml:space="preserve"> Nas contratações diretas por inexigibilidade ou por dispensa, quando não for possível estimar o valor do objeto na forma estabelecida nos §§ 1º, 2º e 3º do art. 23 da Lei nº 14.133/2021, a justificativa de preços será dada com base em valores de contratações de objetos idênticos, comercializados pelo futuro contratado, por meio da apresentação de notas fiscais emitidas para outros contratantes, públicos ou privados, no período de até 01 (um) ano </w:t>
      </w:r>
      <w:r>
        <w:rPr>
          <w:rFonts w:ascii="Times New Roman" w:hAnsi="Times New Roman"/>
          <w:color w:val="000000" w:themeColor="text1"/>
          <w:sz w:val="24"/>
          <w:szCs w:val="24"/>
          <w:shd w:fill="auto" w:val="clear"/>
        </w:rPr>
        <w:t>anterior à data da contratação pelo Poder Legislativo</w:t>
      </w:r>
      <w:r>
        <w:rPr>
          <w:rFonts w:ascii="Times New Roman" w:hAnsi="Times New Roman"/>
          <w:color w:val="000000" w:themeColor="text1"/>
          <w:sz w:val="24"/>
          <w:szCs w:val="24"/>
        </w:rPr>
        <w:t xml:space="preserve"> ou por outro meio idôneo.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Parágrafo único. Excepcionalmente, caso o(a) futuro(a) contratado(a) não tenha comercializado o objeto anteriormente, a justificativa de preço de que trata o caput poderá ser realizada mediante avaliação de objetos semelhantes de mesma natureza, devendo apresentar especificações técnicas que demonstrem similaridade com o objeto pretendido ou tabela de preços do respectivo Conselho.</w:t>
      </w:r>
    </w:p>
    <w:p>
      <w:pPr>
        <w:pStyle w:val="Normal"/>
        <w:shd w:val="clear" w:color="auto" w:fill="FFFFFF"/>
        <w:spacing w:before="0" w:after="160"/>
        <w:ind w:firstLine="708"/>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TÍTULO II</w:t>
      </w:r>
    </w:p>
    <w:p>
      <w:pPr>
        <w:pStyle w:val="Normal"/>
        <w:shd w:val="clear" w:color="auto" w:fill="FFFFFF"/>
        <w:spacing w:before="0" w:after="16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 ELABORAÇÃO DO ORÇAMENTO DE REFERÊNCIA DE OBRAS E </w:t>
      </w:r>
    </w:p>
    <w:p>
      <w:pPr>
        <w:pStyle w:val="Normal"/>
        <w:shd w:val="clear" w:color="auto" w:fill="FFFFFF"/>
        <w:spacing w:before="0" w:after="16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SERVIÇOS DE ENGENHARIA</w:t>
      </w:r>
    </w:p>
    <w:p>
      <w:pPr>
        <w:pStyle w:val="Textbody"/>
        <w:spacing w:beforeAutospacing="0" w:before="0" w:afterAutospacing="0" w:after="0"/>
        <w:ind w:firstLine="709"/>
        <w:jc w:val="both"/>
        <w:rPr>
          <w:b/>
          <w:b/>
          <w:bCs/>
          <w:color w:val="000000" w:themeColor="text1"/>
        </w:rPr>
      </w:pPr>
      <w:r>
        <w:rPr>
          <w:b/>
          <w:bCs/>
          <w:color w:val="000000" w:themeColor="text1"/>
        </w:rPr>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7º.</w:t>
      </w:r>
      <w:r>
        <w:rPr>
          <w:rFonts w:ascii="Times New Roman" w:hAnsi="Times New Roman"/>
          <w:color w:val="000000" w:themeColor="text1"/>
          <w:sz w:val="24"/>
          <w:szCs w:val="24"/>
        </w:rPr>
        <w:t xml:space="preserve"> No processo administrativo de licitação pública ou processo administrativo para contratação direta para contratação de obras e serviços de engenharia, o valor estimado, acrescido do percentual de Benefícios e Despesas Indiretas – BDI – de referência e dos Encargos Sociais – ES – cabíveis, será definido pelo Setor de Engenharia por meio da utilização de parâmetros na seguinte ordem:</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composição de custos unitários menores ou iguais à mediana do item correspondente do Sistema de Custos Referenciais de Obras – Sicro –, para serviços e obras de infraestrutura de transportes, ou do Sistema Nacional de Pesquisa de Custos e Índices de Construção Civil – Sinapi –, para as demais obras e serviços de engenharia;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utilização de dados de pesquisa publicada em mídia especializada, de tabela de referência formalmente aprovada pelo Poder Executivo Federal e de sítios eletrônicos especializados ou de domínio amplo, desde que contenham a data e a hora de acesso;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III – contratações similares feitas pela Administração Pública – União, Estado do Rio de Janeiro e Municípios –, em execução ou concluídas no período de 1 (um) ano anterior à data da pesquisa de preços, observado o índice de atualização de preços correspondente;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IV – pesquisa na base nacional de notas fiscais eletrônicas, na forma deste Ato.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No processo administrativo de licitação pública ou processo administrativo para contratação direta para contratação administrativa de obras e serviços de engenharia sob os regimes de contratação integrada ou semi-integrada, o valor estimado da contratação será calculado nos termos do caput deste artigo, acrescido ou não de parcela referente à remuneração do risco, e, sempre que necessário e o anteprojeto o permitir, a estimativa de preço será baseada em orçamento sintético, balizado em sistema de custo definido no inciso I do caput deste artigo, devendo a utilização de metodologia expedida ou paramétrica e de avaliação aproximada baseada em outras contratações similares ser reservada às frações do empreendimento não suficientemente detalhadas no anteprojeto.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Na hipótese do § 1º deste artigo, será exigido dos licitantes ou contratados, no orçamento que compuser suas respectivas propostas, no mínimo, o mesmo nível de detalhamento do orçamento sintético referido no mencionado parágrafo.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Nos casos que envolvam recursos da União, o valor previamente estimado da contratação administrativa, observará o disposto neste artigo.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Nos casos que envolvam recursos do Estado do Rio de Janeiro, o valor previamente estimado da contratação administrativa, observará o disposto neste artigo, salvo se aquele prever outra fonte.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5º. Para a realização de pesquisa de preços que antecede a elaboração do orçamento de licitação é necessária avaliação crítica dos valores obtidos, a fim de que sejam descartados aqueles que apresentem grande variação em relação aos demais e, por isso, comprometam a estimativa do preço de referência.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6º. Em condições especiais, justificadas em relatório técnico circunstanciado, elaborado por profissional técnico habilitado e aprovado pelo ordenador de despesas, poderão os respectivos custos unitários exceder limite fixado nos valores referenciais constantes nas referidas tabelas.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7º. Os preços relativos à elaboração dos projetos arquitetônico e complementares, bem como os demais serviços de engenharia e/ou arquitetura deverão ser definidos com base em tabela de custos adotada pelo órgão ou entidade licitante.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8º. As tabelas de referência deverão ser divulgadas nos sítios oficiais dos órgãos e entidades competentes, como forma de proporcionar acesso à população em geral e aos órgãos de controle interno e externo.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9º. os serviços não contemplados nas tabelas de referência deverão ter seus valores definidos por meio da apresentação da composição de seus custos unitários elaborada por profissional técnico habilitado e anexada à planilha sintética de serviços.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10. A pesquisa na base nacional de notas fiscais eletrônicas de que trata o inciso III deste artigo será acessada ou realizada através do PNCP.</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11. Até o PNCP oferecer a funcionalidade prevista no § 10 deste artigo, na impossibilidade de acesso ou não localização de bens e serviços em geral no PNCP, poderá ser utilizado o banco de dados do Município de Varre-Sai.</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8º.</w:t>
      </w:r>
      <w:r>
        <w:rPr>
          <w:rFonts w:ascii="Times New Roman" w:hAnsi="Times New Roman"/>
          <w:color w:val="000000" w:themeColor="text1"/>
          <w:sz w:val="24"/>
          <w:szCs w:val="24"/>
        </w:rPr>
        <w:t xml:space="preserve"> Nas contratações diretas, quando não for possível estimar o valor do objeto na forma estabelecida o art. 7º deste Ato, o(a) contratado(a) deverá comprovar previamente que os preços estão em conformidade com os praticados em contratações semelhantes de objetos de mesma natureza, por meio da apresentação de notas fiscais emitidas para outros contratantes no período de até 01 (um) ano anterior à data da contratação pela Administração, ou por outro meio idôneo.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9º.</w:t>
      </w:r>
      <w:r>
        <w:rPr>
          <w:rFonts w:ascii="Times New Roman" w:hAnsi="Times New Roman"/>
          <w:color w:val="000000" w:themeColor="text1"/>
          <w:sz w:val="24"/>
          <w:szCs w:val="24"/>
        </w:rPr>
        <w:t xml:space="preserve"> Nas licitações públicas de obras ou serviços de engenharia, após o julgamento, o licitante vencedor deverá reelaborar e apresentar à Administração, por meio eletrônico, as planilhas com indicação dos quantitativos e dos custos unitários, bem como com detalhamento das BDI e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administrativo.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No caso da contratação integrada prevista no art. 46 da Lei nº 14.133/2021, o(a) licitante que ofertou a melhor proposta deverá apresentar o valor do lance vencedor distribuído pelas etapas do cronograma físico, definido no ato de convocação e compatível com o critério de aceitabilidade por etapas previsto no § 5º do art. 11 deste Ato.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Salvo quando aprovado relatório técnico conforme previsto no § 5º do art. 56 da Lei nº 14.133/2021, o(a) licitante da melhor proposta deverá adequar os custos unitários ou das etapas propostos aos limites previstos nos § 2º, § 4º ou § 5º do art. 11 deste Ato sem alteração do valor global da proposta.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10.</w:t>
      </w:r>
      <w:r>
        <w:rPr>
          <w:rFonts w:ascii="Times New Roman" w:hAnsi="Times New Roman"/>
          <w:color w:val="000000" w:themeColor="text1"/>
          <w:sz w:val="24"/>
          <w:szCs w:val="24"/>
        </w:rPr>
        <w:t xml:space="preserve"> Nas licitações públicas de obras e serviços de engenharia, consideram-se inexequíveis as propostas cujos valores forem inferiores a 75% (setenta e cinco por cento) do valor orçado pela Administração.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A administração deverá conferir a(o) licitante a oportunidade de demonstrar a exequibilidade da sua proposta.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Na hipótese de que trata o § 1º deste artigo, o(a) licitante deverá demonstrar que o valor da proposta é compatível com a execução do objeto licitado no que se refere aos custos dos insumos e aos coeficientes de produtividade adotados nas composições de custos unitários.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A análise de exequibilidade da proposta não considerará materiais e instalações a serem fornecidos pelo(a) licitante em relação aos quais ele renuncie a parcela ou à totalidade da remuneração, desde que a renúncia esteja expressa na proposta.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11.</w:t>
      </w:r>
      <w:r>
        <w:rPr>
          <w:rFonts w:ascii="Times New Roman" w:hAnsi="Times New Roman"/>
          <w:color w:val="000000" w:themeColor="text1"/>
          <w:sz w:val="24"/>
          <w:szCs w:val="24"/>
        </w:rPr>
        <w:t xml:space="preserve"> Nas licitações públicas de obras e serviços de engenharia, a economicidade da proposta será aferida com base nos custos globais e unitários.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O valor global da proposta não poderá superar o orçamento estimado pela Administração com base nos parâmetros previstos no art. 7º deste Ato, e, no caso da contratação integrada, na forma estabelecida no art. 23 da Lei Federal nº. 14.133/2021.</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No caso de adoção do regime de empreitada por preço unitário ou de contratação por tarefa, os custos unitários dos itens materialmente relevantes das propostas não podem exceder os custos unitários estabelecidos no orçamento estimado pela Administração, observadas as seguintes condições: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serão considerados itens materialmente relevantes aqueles de maior impacto no valor total da proposta e que, somados, representem pelo menos 80% (oitenta por cento) do valor total do orçamento estimado ou que sejam considerados essenciais à funcionalidade da obra ou do serviço de engenharia; 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em situações especiais, devidamente comprovadas pelo(a) licitante em relatório técnico circunstanciado por profissional habilitado, poderão ser aceitos custos unitários superiores àqueles constantes do orçamento estimado em relação aos itens materialmente relevantes, sem prejuízo da avaliação dos órgãos de controle, dispensada a compensação em qualquer outro serviço do orçamento de referência;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No caso do relatório técnico de que trata o inciso II do § 2º, aplica-se o disposto no art. 71 da Lei nº 14.133/2021, salvo se o licitante apresentar nova proposta, com adequação dos custos unitários propostos aos limites previstos no § 2º deste artigo, sem alteração do valor global da proposta.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No caso de adoção do regime de empreitada por preço global ou de empreitada integral, serão observadas as seguintes condições: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no cálculo do valor da proposta, poderão ser utilizados custos unitários diferentes daqueles previstos no art. 23 da Lei nº 14.133/2021, desde que o valor global da proposta e o valor de cada etapa prevista no cronograma físico-financeiro seja igual ou inferior ao valor calculado a partir do sistema de referência utilizado;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em situações especiais, devidamente comprovadas pelo(a) licitante em relatório técnico circunstanciado por profissional habilitado, os valores das etapas do cronograma físico-financeiro poderão exceder o limite fixado no inciso I deste parágrafo; 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III – as alterações contratuais sob alegação de falhas ou omissões em qualquer das peças, orçamentos, plantas, especificações, memoriais ou estudos técnicos preliminares do projeto básico não poderão ultrapassar, no seu conjunto, 50% (cinquenta por cento) do valor total do contrato administrativo.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5º. No caso de adoção do regime de contratação integrada, deverão ser previstos no edital critérios de aceitabilidade por etapa, estabelecidos de acordo com o orçamento estimado na forma prevista naquele instrumento, e compatíveis com o cronograma físico do objeto licitado.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6º. O orçamento estimado das obras e serviços de engenharia será aquele resultante da composição dos custos unitários diretos do sistema de referência utilizado, acrescida do percentual de BDI de referência, ressalvado o disposto no para art. 9º da Lei nº. 14.133/2021, o Regime de Contratação Integrada.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7º A diferença percentual entre o valor global do contrato e o valor obtido a partir dos custos unitários do orçamento estimado pelo Setor de Engenharia não poderá ser reduzida, em favor do contratado, em decorrência de aditamentos contratuais que modifiquem a composição orçamentária.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12.</w:t>
      </w:r>
      <w:r>
        <w:rPr>
          <w:rFonts w:ascii="Times New Roman" w:hAnsi="Times New Roman"/>
          <w:color w:val="000000" w:themeColor="text1"/>
          <w:sz w:val="24"/>
          <w:szCs w:val="24"/>
        </w:rPr>
        <w:t xml:space="preserve"> O orçamento estimativo deverá ser elaborado por profissional habilitado e será parte integrante do projeto básico ou do termo de referência quando se tratar da licitação pública de projetos.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13.</w:t>
      </w:r>
      <w:r>
        <w:rPr>
          <w:rFonts w:ascii="Times New Roman" w:hAnsi="Times New Roman"/>
          <w:color w:val="000000" w:themeColor="text1"/>
          <w:sz w:val="24"/>
          <w:szCs w:val="24"/>
        </w:rPr>
        <w:t xml:space="preserve"> Na elaboração dos orçamentos de referência, a Administração poderá adotar especificidades locais ou de projeto na elaboração das respectivas composições de custo unitário, desde que demonstrada a pertinência dos ajustes para a obra ou serviço de engenharia e/ou arquitetura a ser orçado em relatório técnico elaborado por profissional habilitado.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Parágrafo único. Os custos unitários de referência da Administração poderão, somente em condições especiais justificadas em relatório técnico elaborado por profissional habilitado, exceder os seus correspondentes do sistema de referência adotado na forma deste Ato, sem prejuízo da avaliação dos órgãos de controle, dispensada a compensação em qualquer outro serviço do orçamento de referência.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14.</w:t>
      </w:r>
      <w:r>
        <w:rPr>
          <w:rFonts w:ascii="Times New Roman" w:hAnsi="Times New Roman"/>
          <w:color w:val="000000" w:themeColor="text1"/>
          <w:sz w:val="24"/>
          <w:szCs w:val="24"/>
        </w:rPr>
        <w:t xml:space="preserve"> As obras e serviços de engenharia e/ou arquitetura a serem contratados e executados terão seus preços máximos definidos por meio da somatória do custo direto, orçado pela Administração, com o valor do BDI.</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O preço máximo será o resultante do custo global de referência acrescido do valor correspondente ao BDI, que deverá evidenciar em sua composição, no mínimo: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 – taxa de rateio da administração central;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 – percentuais de tributos incidentes sobre o preço do serviço, excluídos aqueles de natureza direta e personalística, em especial aqueles mencionados no § 2º deste artigo, que oneram a contratada;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III – taxa de risco, seguro e garantia do empreendimento;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IV – taxa de despesas financeiras; 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V – taxa de lucro.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O Imposto de Renda Pessoa Jurídica – IRPJ – e a Contribuição Social sobre o Lucro Líquido – CSLL – não se consubstanciam em despesas indiretas passíveis de inclusão na taxa de BDI do orçamento-base da licitação.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Os preços unitário e global estabelecidos nos contratos incluem todos os custos e despesas necessários à perfeita execução do seu objeto.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No contrato específico de cada obra ou serviço de engenharia e/ou arquitetura contratados, na cláusula do valor para a execução do seu objeto, deverá constar explicitamente o percentual relativo a materiais e a mão de obra.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5º. O edital deverá exigir que o(a)(s) licitantes apresentem, em suas propostas, a composição analítica do percentual do BDI e dos ES, discriminando todas as parcelas que o compõem, ou a exigência de que apresentem declaração de que aceitam as composições constantes no anexo ao edital, ou, ainda, explicitar que no caso da licitante não apresentar a composição do BDI, considerar-se-á que adotou o BDI referencial constante em anexo do edital.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15.</w:t>
      </w:r>
      <w:r>
        <w:rPr>
          <w:rFonts w:ascii="Times New Roman" w:hAnsi="Times New Roman"/>
          <w:color w:val="000000" w:themeColor="text1"/>
          <w:sz w:val="24"/>
          <w:szCs w:val="24"/>
        </w:rPr>
        <w:t xml:space="preserve"> O edital ou o contrato administrativo de obras e serviços de engenharia e/ou arquitetura deverá indicar o critério de reajustamento de preços, sob a forma de reajuste em estrito senso, admitida a adoção de índice setorial.</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Parágrafo único. No caso de serviços de engenharia e/ou arquitetura continuados com dedicação exclusiva de mão de obra, o reajustamento de preços será feito na espécie repactuação.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16.</w:t>
      </w:r>
      <w:r>
        <w:rPr>
          <w:rFonts w:ascii="Times New Roman" w:hAnsi="Times New Roman"/>
          <w:color w:val="000000" w:themeColor="text1"/>
          <w:sz w:val="24"/>
          <w:szCs w:val="24"/>
        </w:rPr>
        <w:t xml:space="preserve">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Parágrafo único. No caso do fornecimento de equipamentos, sistemas e materiais em que o(a) contratado(a)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caput deste artigo.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17.</w:t>
      </w:r>
      <w:r>
        <w:rPr>
          <w:rFonts w:ascii="Times New Roman" w:hAnsi="Times New Roman"/>
          <w:color w:val="000000" w:themeColor="text1"/>
          <w:sz w:val="24"/>
          <w:szCs w:val="24"/>
        </w:rPr>
        <w:t xml:space="preserve"> Na Anotação de Responsabilidade Técnica – ART – ou no Registro de Responsabilidade Técnica – RRT – relativas às planilhas orçamentárias deverá constar do projeto que integrar o edital de licitação, inclusive de suas eventuais alterações.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18.</w:t>
      </w:r>
      <w:r>
        <w:rPr>
          <w:rFonts w:ascii="Times New Roman" w:hAnsi="Times New Roman"/>
          <w:color w:val="000000" w:themeColor="text1"/>
          <w:sz w:val="24"/>
          <w:szCs w:val="24"/>
        </w:rPr>
        <w:t xml:space="preserve"> Os critérios de aceitabilidade de preços deverão constar do edital de licitação pública para contratação de obras e serviços de engenharia e/ou arquitetura.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b/>
          <w:bCs/>
          <w:color w:val="000000" w:themeColor="text1"/>
          <w:sz w:val="24"/>
          <w:szCs w:val="24"/>
        </w:rPr>
        <w:t>Art. 19.</w:t>
      </w:r>
      <w:r>
        <w:rPr>
          <w:rFonts w:ascii="Times New Roman" w:hAnsi="Times New Roman"/>
          <w:color w:val="000000" w:themeColor="text1"/>
          <w:sz w:val="24"/>
          <w:szCs w:val="24"/>
        </w:rPr>
        <w:t xml:space="preserve"> A minuta de contrato administrativo deverá conter cronograma físico-financeiro com a especificação física completa das etapas necessárias à medição, ao monitoramento e ao controle das obras.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1º. As medições serão efetuadas na data prevista da conclusão das parcelas constantes do cronograma físico-financeiro, que deverá ser ilustrado por representação gráfica.</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2º. Os regimes de execução a que se referem os incisos II, III, IV e VI do caput do art. 46 da Lei nº 14.133/2021, serão licitados por preço global e adotarão sistemática de medição e pagamento associada à execução de etapas do cronograma físico-financeiro vinculadas ao cumprimento de metas de resultado, vedada a adoção de sistemática de remuneração orientada por preços unitários ou referenciada pela execução de quantidades de itens unitários.</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3º. Para efeito de medição e de faturamento, relativo aos serviços executados, deverá ser considerado o cumprimento do avanço das etapas construtivas definidas no cronograma físico-financeiro, que será peça integrante do contrato administrativo.</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4º. O cronograma físico-financeiro deverá prever parcelas a cada 30 (trinta) dias, mantendo coerência com a execução dos serviços em cada parcela, podendo prever prazo menor para a primeira, para a última e para casos especiais autorizados pela autoridade competente.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5º. O cronograma físico-financeiro referencial do planejamento adequado da obra deve ser estabelecido pelo contratante, podendo a contratada adequá-lo, estando sujeito à aprovação do(a) contratante.</w:t>
      </w:r>
    </w:p>
    <w:p>
      <w:pPr>
        <w:pStyle w:val="Normal"/>
        <w:shd w:val="clear" w:color="auto" w:fill="FFFFFF"/>
        <w:spacing w:before="0" w:after="16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6º. A contratada poderá solicitar a revisão do cronograma inicial, quando necessária, cabendo a(o) contratante autorizar a sua readequação, desde que motivada e justificada por fatos não imputados à contratada e que não contrariem os princípios que regem as licitações e contratações públicas.</w:t>
      </w:r>
    </w:p>
    <w:p>
      <w:pPr>
        <w:pStyle w:val="Textbody"/>
        <w:spacing w:beforeAutospacing="0" w:before="0" w:afterAutospacing="0" w:after="160"/>
        <w:ind w:firstLine="709"/>
        <w:jc w:val="both"/>
        <w:rPr>
          <w:color w:val="000000" w:themeColor="text1"/>
        </w:rPr>
      </w:pPr>
      <w:r>
        <w:rPr>
          <w:b/>
          <w:bCs/>
          <w:color w:val="000000" w:themeColor="text1"/>
        </w:rPr>
        <w:t>Art. 20.</w:t>
      </w:r>
      <w:r>
        <w:rPr>
          <w:color w:val="000000" w:themeColor="text1"/>
        </w:rPr>
        <w:t xml:space="preserve"> Este Ato entra em vigor na data de sua publicação</w:t>
      </w:r>
      <w:r>
        <w:rPr>
          <w:color w:val="000000"/>
          <w:sz w:val="24"/>
          <w:szCs w:val="24"/>
        </w:rPr>
        <w:t>, produzindo seus efeitos a partir de 02 de janeiro do corrente ano.</w:t>
      </w:r>
      <w:r>
        <w:rPr>
          <w:color w:val="000000" w:themeColor="text1"/>
        </w:rPr>
        <w:t>.</w:t>
      </w:r>
    </w:p>
    <w:p>
      <w:pPr>
        <w:pStyle w:val="Normal"/>
        <w:tabs>
          <w:tab w:val="clear" w:pos="708"/>
          <w:tab w:val="left" w:pos="2268" w:leader="none"/>
          <w:tab w:val="left" w:pos="4536" w:leader="none"/>
        </w:tabs>
        <w:ind w:firstLine="709"/>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tabs>
          <w:tab w:val="clear" w:pos="708"/>
          <w:tab w:val="left" w:pos="2268" w:leader="none"/>
          <w:tab w:val="left" w:pos="4536" w:leader="none"/>
        </w:tabs>
        <w:ind w:firstLine="709"/>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jc w:val="center"/>
        <w:rPr>
          <w:rFonts w:ascii="Times New Roman" w:hAnsi="Times New Roman"/>
          <w:sz w:val="24"/>
          <w:szCs w:val="24"/>
        </w:rPr>
      </w:pPr>
      <w:r>
        <w:rPr>
          <w:rFonts w:ascii="Times New Roman" w:hAnsi="Times New Roman"/>
          <w:sz w:val="24"/>
          <w:szCs w:val="24"/>
        </w:rPr>
        <w:t>Câmara Municipal de Varre-Sai, 02 de janeiro de 2024.</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_________________________</w:t>
      </w:r>
    </w:p>
    <w:p>
      <w:pPr>
        <w:pStyle w:val="Normal"/>
        <w:jc w:val="center"/>
        <w:rPr>
          <w:rFonts w:ascii="Times New Roman" w:hAnsi="Times New Roman"/>
          <w:sz w:val="24"/>
          <w:szCs w:val="24"/>
        </w:rPr>
      </w:pPr>
      <w:r>
        <w:rPr>
          <w:rFonts w:ascii="Times New Roman" w:hAnsi="Times New Roman"/>
          <w:sz w:val="24"/>
          <w:szCs w:val="24"/>
        </w:rPr>
        <w:t>Fabrício Geraldo Pimentel</w:t>
      </w:r>
    </w:p>
    <w:p>
      <w:pPr>
        <w:pStyle w:val="Normal"/>
        <w:jc w:val="center"/>
        <w:rPr>
          <w:rFonts w:ascii="Times New Roman" w:hAnsi="Times New Roman"/>
          <w:sz w:val="24"/>
          <w:szCs w:val="24"/>
        </w:rPr>
      </w:pPr>
      <w:r>
        <w:rPr>
          <w:rFonts w:ascii="Times New Roman" w:hAnsi="Times New Roman"/>
          <w:sz w:val="24"/>
          <w:szCs w:val="24"/>
        </w:rPr>
        <w:t xml:space="preserve">Presidente </w:t>
      </w:r>
    </w:p>
    <w:p>
      <w:pPr>
        <w:pStyle w:val="Normal"/>
        <w:jc w:val="center"/>
        <w:rPr>
          <w:rFonts w:ascii="Times New Roman" w:hAnsi="Times New Roman"/>
          <w:sz w:val="24"/>
          <w:szCs w:val="24"/>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418" w:footer="39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Light">
    <w:charset w:val="00"/>
    <w:family w:val="roman"/>
    <w:pitch w:val="variable"/>
  </w:font>
  <w:font w:name="Liberation Sans">
    <w:altName w:val="Arial"/>
    <w:charset w:val="00"/>
    <w:family w:val="roman"/>
    <w:pitch w:val="variable"/>
  </w:font>
  <w:font w:name="Tahoma">
    <w:charset w:val="00"/>
    <w:family w:val="roman"/>
    <w:pitch w:val="variable"/>
  </w:font>
  <w:font w:name="Kunstler Scrip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10">
          <wp:simplePos x="0" y="0"/>
          <wp:positionH relativeFrom="column">
            <wp:posOffset>114300</wp:posOffset>
          </wp:positionH>
          <wp:positionV relativeFrom="paragraph">
            <wp:posOffset>33655</wp:posOffset>
          </wp:positionV>
          <wp:extent cx="996315" cy="101282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10">
          <wp:simplePos x="0" y="0"/>
          <wp:positionH relativeFrom="column">
            <wp:posOffset>114300</wp:posOffset>
          </wp:positionH>
          <wp:positionV relativeFrom="paragraph">
            <wp:posOffset>33655</wp:posOffset>
          </wp:positionV>
          <wp:extent cx="996315" cy="1012825"/>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de"/>
    <w:pPr>
      <w:widowControl/>
      <w:suppressAutoHyphens w:val="true"/>
      <w:bidi w:val="0"/>
      <w:spacing w:before="0" w:after="0"/>
      <w:jc w:val="left"/>
    </w:pPr>
    <w:rPr>
      <w:rFonts w:ascii="Abadi MT Condensed Light" w:hAnsi="Abadi MT Condensed Light" w:eastAsia="Times New Roman" w:cs="Times New Roman"/>
      <w:color w:val="auto"/>
      <w:kern w:val="0"/>
      <w:sz w:val="20"/>
      <w:szCs w:val="20"/>
      <w:lang w:val="pt-BR" w:eastAsia="pt-BR" w:bidi="ar-SA"/>
    </w:rPr>
  </w:style>
  <w:style w:type="paragraph" w:styleId="Ttulo1">
    <w:name w:val="Heading 1"/>
    <w:basedOn w:val="Normal"/>
    <w:next w:val="Normal"/>
    <w:qFormat/>
    <w:rsid w:val="00ef7ade"/>
    <w:pPr>
      <w:keepNext w:val="true"/>
      <w:ind w:firstLine="2268"/>
      <w:outlineLvl w:val="0"/>
    </w:pPr>
    <w:rPr>
      <w:rFonts w:ascii="Times New Roman" w:hAnsi="Times New Roman"/>
      <w:sz w:val="24"/>
    </w:rPr>
  </w:style>
  <w:style w:type="paragraph" w:styleId="Ttulo2">
    <w:name w:val="Heading 2"/>
    <w:basedOn w:val="Normal"/>
    <w:next w:val="Normal"/>
    <w:qFormat/>
    <w:rsid w:val="00ef7ade"/>
    <w:pPr>
      <w:keepNext w:val="true"/>
      <w:ind w:firstLine="2127"/>
      <w:jc w:val="center"/>
      <w:outlineLvl w:val="1"/>
    </w:pPr>
    <w:rPr>
      <w:rFonts w:ascii="Times New Roman" w:hAnsi="Times New Roman"/>
      <w:sz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4a4a"/>
    <w:rPr>
      <w:b/>
      <w:bCs/>
    </w:rPr>
  </w:style>
  <w:style w:type="character" w:styleId="CabealhoChar" w:customStyle="1">
    <w:name w:val="Cabeçalho Char"/>
    <w:basedOn w:val="DefaultParagraphFont"/>
    <w:qFormat/>
    <w:rsid w:val="000079b7"/>
    <w:rPr>
      <w:rFonts w:ascii="Abadi MT Condensed Light" w:hAnsi="Abadi MT Condensed Light"/>
    </w:rPr>
  </w:style>
  <w:style w:type="character" w:styleId="PlaceholderText">
    <w:name w:val="Placeholder Text"/>
    <w:basedOn w:val="DefaultParagraphFont"/>
    <w:uiPriority w:val="99"/>
    <w:semiHidden/>
    <w:qFormat/>
    <w:rsid w:val="00d24c59"/>
    <w:rPr>
      <w:color w:val="80808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rsid w:val="00ef7ade"/>
    <w:pPr>
      <w:ind w:left="3969" w:hanging="0"/>
      <w:jc w:val="both"/>
    </w:pPr>
    <w:rPr>
      <w:rFonts w:ascii="Times New Roman" w:hAnsi="Times New Roman"/>
      <w:sz w:val="24"/>
    </w:rPr>
  </w:style>
  <w:style w:type="paragraph" w:styleId="BodyTextIndent2">
    <w:name w:val="Body Text Indent 2"/>
    <w:basedOn w:val="Normal"/>
    <w:qFormat/>
    <w:rsid w:val="00ef7ade"/>
    <w:pPr>
      <w:ind w:firstLine="2127"/>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link w:val="CabealhoChar"/>
    <w:rsid w:val="00ef7ade"/>
    <w:pPr>
      <w:tabs>
        <w:tab w:val="clear" w:pos="708"/>
        <w:tab w:val="center" w:pos="4419" w:leader="none"/>
        <w:tab w:val="right" w:pos="8838" w:leader="none"/>
      </w:tabs>
    </w:pPr>
    <w:rPr/>
  </w:style>
  <w:style w:type="paragraph" w:styleId="Rodap">
    <w:name w:val="Footer"/>
    <w:basedOn w:val="Normal"/>
    <w:rsid w:val="00ef7ade"/>
    <w:pPr>
      <w:tabs>
        <w:tab w:val="clear" w:pos="708"/>
        <w:tab w:val="center" w:pos="4419" w:leader="none"/>
        <w:tab w:val="right" w:pos="8838" w:leader="none"/>
      </w:tabs>
    </w:pPr>
    <w:rPr/>
  </w:style>
  <w:style w:type="paragraph" w:styleId="BalloonText">
    <w:name w:val="Balloon Text"/>
    <w:basedOn w:val="Normal"/>
    <w:semiHidden/>
    <w:qFormat/>
    <w:rsid w:val="00931ee2"/>
    <w:pPr/>
    <w:rPr>
      <w:rFonts w:ascii="Tahoma" w:hAnsi="Tahoma" w:cs="Tahoma"/>
      <w:sz w:val="16"/>
      <w:szCs w:val="16"/>
    </w:rPr>
  </w:style>
  <w:style w:type="paragraph" w:styleId="LOnormal" w:customStyle="1">
    <w:name w:val="LO-normal"/>
    <w:qFormat/>
    <w:rsid w:val="00634d06"/>
    <w:pPr>
      <w:widowControl/>
      <w:suppressAutoHyphens w:val="true"/>
      <w:bidi w:val="0"/>
      <w:spacing w:before="0" w:after="0"/>
      <w:jc w:val="left"/>
    </w:pPr>
    <w:rPr>
      <w:rFonts w:ascii="Times New Roman" w:hAnsi="Times New Roman" w:eastAsia="NSimSun" w:cs="Arial"/>
      <w:color w:val="auto"/>
      <w:kern w:val="0"/>
      <w:sz w:val="20"/>
      <w:szCs w:val="20"/>
      <w:lang w:val="pt-BR" w:eastAsia="zh-CN" w:bidi="hi-IN"/>
    </w:rPr>
  </w:style>
  <w:style w:type="paragraph" w:styleId="NormalWeb">
    <w:name w:val="Normal (Web)"/>
    <w:basedOn w:val="Normal"/>
    <w:uiPriority w:val="99"/>
    <w:unhideWhenUsed/>
    <w:qFormat/>
    <w:rsid w:val="00b47596"/>
    <w:pPr>
      <w:spacing w:beforeAutospacing="1" w:afterAutospacing="1"/>
    </w:pPr>
    <w:rPr>
      <w:rFonts w:ascii="Times New Roman" w:hAnsi="Times New Roman"/>
      <w:sz w:val="24"/>
      <w:szCs w:val="24"/>
    </w:rPr>
  </w:style>
  <w:style w:type="paragraph" w:styleId="Textbody" w:customStyle="1">
    <w:name w:val="textbody"/>
    <w:basedOn w:val="Normal"/>
    <w:qFormat/>
    <w:rsid w:val="00d94a4a"/>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5F53-87AD-4798-B412-8DB4D45F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LibreOffice/7.4.3.2$Windows_X86_64 LibreOffice_project/1048a8393ae2eeec98dff31b5c133c5f1d08b890</Application>
  <AppVersion>15.0000</AppVersion>
  <Pages>9</Pages>
  <Words>3835</Words>
  <Characters>21175</Characters>
  <CharactersWithSpaces>25003</CharactersWithSpaces>
  <Paragraphs>112</Paragraphs>
  <Company>PMVS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2023-05-16T13:46:00Z</dcterms:created>
  <dc:creator>PMVS</dc:creator>
  <dc:description/>
  <dc:language>pt-BR</dc:language>
  <cp:lastModifiedBy/>
  <cp:lastPrinted>2022-09-26T20:00:00Z</cp:lastPrinted>
  <dcterms:modified xsi:type="dcterms:W3CDTF">2024-01-12T14:15:10Z</dcterms:modified>
  <cp:revision>13</cp:revision>
  <dc:subject/>
  <dc:title>DECRETO Nº</dc:title>
</cp:coreProperties>
</file>

<file path=docProps/custom.xml><?xml version="1.0" encoding="utf-8"?>
<Properties xmlns="http://schemas.openxmlformats.org/officeDocument/2006/custom-properties" xmlns:vt="http://schemas.openxmlformats.org/officeDocument/2006/docPropsVTypes"/>
</file>